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BA" w:rsidRDefault="008C17BA" w:rsidP="008C17BA">
      <w:pPr>
        <w:shd w:val="clear" w:color="auto" w:fill="FFFFFF"/>
        <w:spacing w:before="120" w:after="0" w:line="276" w:lineRule="auto"/>
        <w:jc w:val="center"/>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color w:val="000000"/>
          <w:sz w:val="24"/>
          <w:szCs w:val="24"/>
        </w:rPr>
        <w:t>Danh mục các loại phí đo đạc và thẩm định tại Phú Thọ</w:t>
      </w:r>
      <w:bookmarkEnd w:id="0"/>
    </w:p>
    <w:p w:rsidR="008C17BA" w:rsidRPr="008C17BA" w:rsidRDefault="008C17BA" w:rsidP="008C17BA">
      <w:pPr>
        <w:shd w:val="clear" w:color="auto" w:fill="FFFFFF"/>
        <w:spacing w:before="120" w:after="0" w:line="276" w:lineRule="auto"/>
        <w:jc w:val="center"/>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xml:space="preserve">CHI TIẾT DANH MỤC, MỨC THU TỶ LỆ ĐỂ LẠI CHO CƠ QUAN THU PHÍ TRÊN ĐỊA BÀN TỈNH PHÚ </w:t>
      </w:r>
      <w:proofErr w:type="gramStart"/>
      <w:r w:rsidRPr="008C17BA">
        <w:rPr>
          <w:rFonts w:ascii="Times New Roman" w:eastAsia="Times New Roman" w:hAnsi="Times New Roman" w:cs="Times New Roman"/>
          <w:color w:val="000000"/>
          <w:sz w:val="24"/>
          <w:szCs w:val="24"/>
        </w:rPr>
        <w:t>THỌ</w:t>
      </w:r>
      <w:proofErr w:type="gramEnd"/>
      <w:r w:rsidRPr="008C17BA">
        <w:rPr>
          <w:rFonts w:ascii="Times New Roman" w:eastAsia="Times New Roman" w:hAnsi="Times New Roman" w:cs="Times New Roman"/>
          <w:b/>
          <w:bCs/>
          <w:color w:val="000000"/>
          <w:sz w:val="24"/>
          <w:szCs w:val="24"/>
        </w:rPr>
        <w:br/>
      </w:r>
      <w:r w:rsidRPr="008C17BA">
        <w:rPr>
          <w:rFonts w:ascii="Times New Roman" w:eastAsia="Times New Roman" w:hAnsi="Times New Roman" w:cs="Times New Roman"/>
          <w:i/>
          <w:iCs/>
          <w:color w:val="000000"/>
          <w:sz w:val="24"/>
          <w:szCs w:val="24"/>
        </w:rPr>
        <w:t>(Kèm theo Nghị quyết số: 17/2014/NQ-HĐND ngày 15 tháng 12 năm 2014 của HĐND tỉnh)</w:t>
      </w:r>
    </w:p>
    <w:tbl>
      <w:tblPr>
        <w:tblW w:w="9629" w:type="dxa"/>
        <w:tblCellSpacing w:w="0" w:type="dxa"/>
        <w:shd w:val="clear" w:color="auto" w:fill="FFFFFF"/>
        <w:tblCellMar>
          <w:left w:w="0" w:type="dxa"/>
          <w:right w:w="0" w:type="dxa"/>
        </w:tblCellMar>
        <w:tblLook w:val="04A0" w:firstRow="1" w:lastRow="0" w:firstColumn="1" w:lastColumn="0" w:noHBand="0" w:noVBand="1"/>
      </w:tblPr>
      <w:tblGrid>
        <w:gridCol w:w="607"/>
        <w:gridCol w:w="4198"/>
        <w:gridCol w:w="1726"/>
        <w:gridCol w:w="1037"/>
        <w:gridCol w:w="2061"/>
      </w:tblGrid>
      <w:tr w:rsidR="008C17BA" w:rsidRPr="008C17BA" w:rsidTr="008C17BA">
        <w:trPr>
          <w:tblCellSpacing w:w="0" w:type="dxa"/>
        </w:trPr>
        <w:tc>
          <w:tcPr>
            <w:tcW w:w="6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STT</w:t>
            </w:r>
          </w:p>
        </w:tc>
        <w:tc>
          <w:tcPr>
            <w:tcW w:w="4198" w:type="dxa"/>
            <w:tcBorders>
              <w:top w:val="single" w:sz="8" w:space="0" w:color="000000"/>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Danh mục</w:t>
            </w:r>
          </w:p>
        </w:tc>
        <w:tc>
          <w:tcPr>
            <w:tcW w:w="1726" w:type="dxa"/>
            <w:tcBorders>
              <w:top w:val="single" w:sz="8" w:space="0" w:color="000000"/>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Mức thu</w:t>
            </w:r>
          </w:p>
        </w:tc>
        <w:tc>
          <w:tcPr>
            <w:tcW w:w="1037" w:type="dxa"/>
            <w:tcBorders>
              <w:top w:val="single" w:sz="8" w:space="0" w:color="000000"/>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Để lại cơ quan thu (%)</w:t>
            </w:r>
          </w:p>
        </w:tc>
        <w:tc>
          <w:tcPr>
            <w:tcW w:w="2061" w:type="dxa"/>
            <w:tcBorders>
              <w:top w:val="single" w:sz="8" w:space="0" w:color="000000"/>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Ghi chú</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2</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3</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4</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5</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I</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đo đạc, lập bản đồ địa chính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1.050 đồng/m</w:t>
            </w:r>
            <w:r w:rsidRPr="008C17BA">
              <w:rPr>
                <w:rFonts w:ascii="Times New Roman" w:eastAsia="Times New Roman" w:hAnsi="Times New Roman" w:cs="Times New Roman"/>
                <w:i/>
                <w:iCs/>
                <w:color w:val="000000"/>
                <w:sz w:val="24"/>
                <w:szCs w:val="24"/>
                <w:vertAlign w:val="superscript"/>
              </w:rPr>
              <w:t>2</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II</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thẩm định cấp quyền sử dụng đất</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Đất sản xuất kinh doanh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tổ chức</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Khu vực đô thị:</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Diện tích dưới 5.000 m</w:t>
            </w:r>
            <w:r w:rsidRPr="008C17BA">
              <w:rPr>
                <w:rFonts w:ascii="Times New Roman" w:eastAsia="Times New Roman" w:hAnsi="Times New Roman" w:cs="Times New Roman"/>
                <w:i/>
                <w:iCs/>
                <w:color w:val="000000"/>
                <w:sz w:val="24"/>
                <w:szCs w:val="24"/>
                <w:vertAlign w:val="superscript"/>
              </w:rPr>
              <w:t>2</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650.000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Diện tích từ trên 5.000 m</w:t>
            </w:r>
            <w:r w:rsidRPr="008C17BA">
              <w:rPr>
                <w:rFonts w:ascii="Times New Roman" w:eastAsia="Times New Roman" w:hAnsi="Times New Roman" w:cs="Times New Roman"/>
                <w:i/>
                <w:iCs/>
                <w:color w:val="000000"/>
                <w:sz w:val="24"/>
                <w:szCs w:val="24"/>
                <w:vertAlign w:val="superscript"/>
              </w:rPr>
              <w:t>2</w:t>
            </w:r>
            <w:r w:rsidRPr="008C17BA">
              <w:rPr>
                <w:rFonts w:ascii="Times New Roman" w:eastAsia="Times New Roman" w:hAnsi="Times New Roman" w:cs="Times New Roman"/>
                <w:i/>
                <w:iCs/>
                <w:color w:val="000000"/>
                <w:sz w:val="24"/>
                <w:szCs w:val="24"/>
              </w:rPr>
              <w:t> đến 2 ha</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1.300.000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Diện tích từ trên 2 ha đến 5 ha</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2.625.000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Diện tích trên 5 ha</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i/>
                <w:iCs/>
                <w:color w:val="000000"/>
                <w:sz w:val="24"/>
                <w:szCs w:val="24"/>
              </w:rPr>
              <w:t>5.250.000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Khu vực nông thôn: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Diện tích dưới 5.000 m</w:t>
            </w:r>
            <w:r w:rsidRPr="008C17BA">
              <w:rPr>
                <w:rFonts w:ascii="Times New Roman" w:eastAsia="Times New Roman" w:hAnsi="Times New Roman" w:cs="Times New Roman"/>
                <w:i/>
                <w:iCs/>
                <w:color w:val="000000"/>
                <w:sz w:val="24"/>
                <w:szCs w:val="24"/>
                <w:vertAlign w:val="superscript"/>
              </w:rPr>
              <w:t>2</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325.000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Diện tích từ trên 5.000 m</w:t>
            </w:r>
            <w:r w:rsidRPr="008C17BA">
              <w:rPr>
                <w:rFonts w:ascii="Times New Roman" w:eastAsia="Times New Roman" w:hAnsi="Times New Roman" w:cs="Times New Roman"/>
                <w:i/>
                <w:iCs/>
                <w:color w:val="000000"/>
                <w:sz w:val="24"/>
                <w:szCs w:val="24"/>
                <w:vertAlign w:val="superscript"/>
              </w:rPr>
              <w:t>2</w:t>
            </w:r>
            <w:r w:rsidRPr="008C17BA">
              <w:rPr>
                <w:rFonts w:ascii="Times New Roman" w:eastAsia="Times New Roman" w:hAnsi="Times New Roman" w:cs="Times New Roman"/>
                <w:i/>
                <w:iCs/>
                <w:color w:val="000000"/>
                <w:sz w:val="24"/>
                <w:szCs w:val="24"/>
              </w:rPr>
              <w:t> đến 2 ha</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650.000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Diện tích từ trên 2 ha đến 5 ha</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1.300.000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Diện tích trên 5 ha</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2.625.000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hộ gia đình, cá nhân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a</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Khu vực đô thị</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700.000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b</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Khu vực nông thôn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300.000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vMerge w:val="restart"/>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Đất làm nhà ở</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vMerge/>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after="0" w:line="276" w:lineRule="auto"/>
              <w:jc w:val="both"/>
              <w:rPr>
                <w:rFonts w:ascii="Times New Roman" w:eastAsia="Times New Roman" w:hAnsi="Times New Roman" w:cs="Times New Roman"/>
                <w:color w:val="000000"/>
                <w:sz w:val="24"/>
                <w:szCs w:val="24"/>
              </w:rPr>
            </w:pP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Khu vực đô thị</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500.000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Khu vực nông thôn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200.000 đồng/hs</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III</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khai thác và sử dụng tài liệu đất đai </w:t>
            </w:r>
            <w:r w:rsidRPr="008C17BA">
              <w:rPr>
                <w:rFonts w:ascii="Times New Roman" w:eastAsia="Times New Roman" w:hAnsi="Times New Roman" w:cs="Times New Roman"/>
                <w:i/>
                <w:iCs/>
                <w:color w:val="000000"/>
                <w:sz w:val="24"/>
                <w:szCs w:val="24"/>
              </w:rPr>
              <w:t>(không bao gồm chi phí in ấn, sao chụp hồ sơ, tài liệu)</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210.000 đồng/hs,tài liệu</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60%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IV</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thẩm định báo cáo đánh giá tác động môi trường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Trường hợp thẩm định báo cáo ĐTM chính thức:</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Nhóm 1: Dự án xử lý chất thải và cải thiện môi trường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Tổng vốn đầu tư ≤ 50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3.500.000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&gt;50 đến ≤ 100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4.550.000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100 đến ≤ 200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8.400.000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200 đến ≤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9.800.000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11.900.000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Nhóm 2: Dự án công trình dân dụng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Tổng vốn đầu tư ≤ 50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4.830.000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&gt;50 đến ≤ 100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5.950.000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100 đến ≤ 200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10.500.000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200 đến ≤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11.200.000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17.500.000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Nhóm 3: Dự án hạ tầng kỹ thuật</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Tổng vốn đầu tư ≤ 50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5.250.000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&gt;50 đến ≤ 100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6.650.000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100 đến ≤ 200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11.900.000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200 đến ≤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12.600.000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17.500.000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1.4</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Nhóm 4: Dự án Nông nghiệp, lâm nghiệp, thủy sản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Tổng vốn đầu tư ≤ 50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5.460.000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&gt;50 đến ≤ 100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6.650.000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100 đến ≤ 200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11.900.000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200 đến ≤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12.600.000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16.800.000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1.5</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Nhóm 5: Dự án giao thông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Tổng vốn đầu tư ≤ 50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5.670.000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&gt;50 đến ≤ 100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100 đến ≤ 200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12.600.000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200 đến ≤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14.000.000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17.500.000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1.6</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Nhóm 6: Dự án công nghiệp</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Tổng vốn đầu tư ≤ 50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5.880.000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&gt;50 đến ≤ 100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7.350.000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100 đến ≤ 200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13.300.000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200 đến ≤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14.000.000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18.200.000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1.7</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Nhóm 7: Dự án khác (Không thuộc nhóm 1,2,3,4,5,6)</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Tổng vốn đầu tư ≤ 50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3.500.000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&gt;50 đến ≤ 100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4.200.000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100 đến ≤ 200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7.560.000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200 đến ≤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8.400.000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từ &gt; 500 tỷ đồng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10.920.000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1.8</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Trường hợp thẩm định lại, bổ sung báo cáo ĐTM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50% mức thu phí thẩm định báo cáo ĐTM chính thức tương ứng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V</w:t>
            </w:r>
          </w:p>
        </w:tc>
        <w:tc>
          <w:tcPr>
            <w:tcW w:w="9022" w:type="dxa"/>
            <w:gridSpan w:val="4"/>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thẩm định đề án, báo cáo thăm dò, khai thác, sử dụng nước dưới đất; khai thác, sử dụng nước mặt; xả nước thải vào nguồn nước, công trình thủy lợi</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Thẩm định đề án, báo cáo thăm dò, khai thác, sử dụng nước dưới đất</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đề án thiết kế giếng có lưu lượng nước dưới 200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280.000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đề án, báo cáo thăm dò có lưu lượng nước từ 200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 đến dưới 500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770.000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đề án, báo cáo thăm dò có lưu lượng nước từ 500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 đến dưới 1.000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1.820.000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1.4</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đề án thăm dò có lưu lượng nước từ 1.000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 đến dưới 3.000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3.500.000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Thẩm định đề án, báo cáo khai thác, sử dụng nước mặt</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đề án, báo cáo khai thác, sử dụng nước mặt cho sản xuất nông nghiệp với lưu lượng 0,1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/giây, hoặc để phát điện với công suất dưới 50 kw, hoặc cho mục đích khác với lưu lượng dưới 500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420.000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2.2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đề án, báo cáo khai thác, sử dụng nước mặt cho sản xuất nông nghiệp với lưu lượng 0,1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/giây đến dưới 0,5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/giây, hoặc để phát điện với công suất từ 50 kw đến dưới 200 kw, hoặc cho mục đích khác với lưu lượng từ 500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 đến dưới 3.000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1.260.000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đề án, báo cáo khai thác, sử dụng nước mặt cho sản xuất nông nghiệp với lưu lượng 0,5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/giây đến dưới 1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/giây, hoặc để phát điện với công suất dưới 1.000 kw, hoặc cho mục đích khác dưới 20.000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3.080.000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2.4</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đề án, báo cáo khai thác, sử dụng nước mặt cho sản xuất nông nghiệp với lưu lượng 1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/giây đến dưới 2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/giây, hoặc để phát điện với công suất dưới 2.000 kw, hoặc cho mục đích khác dưới 50.000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5.880.000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Thẩm định đề án, báo cáo xả nước thải vào nguồn nước, công trình thủy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Đề án, báo cáo có lưu lượng nước dưới 100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420.000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Đề án, báo cáo có lưu lượng nước từ 100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 đến dưới 500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1.260.000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Đề án, báo cáo có lưu lượng nước từ 500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 đến dưới 2.000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3.080.000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3.4</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Đề án, báo cáo có lưu lượng nước từ 2.000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 đến dưới 5.000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5.880.000 đồng/đề án, 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3.5</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Trường hợp thẩm định gia hạn, bổ sung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50% mức thu phí thẩm định báo cáo, đề án chính thức tương ứng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VI</w:t>
            </w:r>
          </w:p>
        </w:tc>
        <w:tc>
          <w:tcPr>
            <w:tcW w:w="5924" w:type="dxa"/>
            <w:gridSpan w:val="2"/>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thẩm định báo cáo kết quả thăm dò đánh giá trữ lượng nước dưới đất</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báo cáo kết quả thi công giếng thăm dò có lưu lượng dưới 200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280.000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báo cáo kết quả thăm dò có lưu lượng từ 200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 đến dưới 500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980.000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báo cáo kết quả thăm dò có lưu lượng nước từ 500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 đến dưới 1.000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2.380.000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báo cáo kết quả thăm dò có có lưu lượng nước từ 1.000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 đến dưới 3.000 m</w:t>
            </w:r>
            <w:r w:rsidRPr="008C17BA">
              <w:rPr>
                <w:rFonts w:ascii="Times New Roman" w:eastAsia="Times New Roman" w:hAnsi="Times New Roman" w:cs="Times New Roman"/>
                <w:color w:val="000000"/>
                <w:sz w:val="24"/>
                <w:szCs w:val="24"/>
                <w:vertAlign w:val="superscript"/>
              </w:rPr>
              <w:t>3</w:t>
            </w:r>
            <w:r w:rsidRPr="008C17BA">
              <w:rPr>
                <w:rFonts w:ascii="Times New Roman" w:eastAsia="Times New Roman" w:hAnsi="Times New Roman" w:cs="Times New Roman"/>
                <w:color w:val="000000"/>
                <w:sz w:val="24"/>
                <w:szCs w:val="24"/>
              </w:rPr>
              <w:t>/ngày.đêm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4.200.000 đồng/báo cáo</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Trường hợp thẩm định gia hạn, bổ sung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50% mức thu phí thẩm định báo cáo, đề án chính thức tương ứng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VII</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thẩm định hồ sơ, điều kiện hành nghề khoan nước dưới đất</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Trường hợp thẩm định lần đầu</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980.000 đồng/hồ sơ</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Trường hợp thẩm định gia hạn, bổ sung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50% mức thu phí thẩm định báo cáo, đề án chính thức tương ứng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lastRenderedPageBreak/>
              <w:t>VIII</w:t>
            </w:r>
          </w:p>
        </w:tc>
        <w:tc>
          <w:tcPr>
            <w:tcW w:w="6961" w:type="dxa"/>
            <w:gridSpan w:val="3"/>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bình tuyển, công nhận cây mẹ, cây đầu dòng, vườn giống cây lâm nghiệp, rừng giống </w:t>
            </w:r>
            <w:r w:rsidRPr="008C17BA">
              <w:rPr>
                <w:rFonts w:ascii="Times New Roman" w:eastAsia="Times New Roman" w:hAnsi="Times New Roman" w:cs="Times New Roman"/>
                <w:color w:val="000000"/>
                <w:sz w:val="24"/>
                <w:szCs w:val="24"/>
              </w:rPr>
              <w:t>(đối với hoạt động bình tuyển, công nhân do cơ quan địa phương thực hiện)</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bình tuyển, công nhận cây mẹ, cây đầu dòng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3.000.000 đ/lần</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60%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bình tuyển, công nhận vườn giống cây lâm nghiệp, rừng giống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7.500.000 đ/lần</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60%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IX</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thẩm định cấp phép sử dụng vật liệu nổ công nghiệp </w:t>
            </w:r>
            <w:r w:rsidRPr="008C17BA">
              <w:rPr>
                <w:rFonts w:ascii="Times New Roman" w:eastAsia="Times New Roman" w:hAnsi="Times New Roman" w:cs="Times New Roman"/>
                <w:color w:val="000000"/>
                <w:sz w:val="24"/>
                <w:szCs w:val="24"/>
              </w:rPr>
              <w:t>(đối với hoạt động thẩm định do cơ quan địa phương thực hiện).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4.200.000 đ/1 lần</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X</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CHỢ</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TẠI ĐỊA BÀN THÀNH PHỐ VIỆT TRÌ</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1.1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Chỗ ngồi bán hàng cố định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Tại chợ Trung tâm: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Các kiốt từ A1 đến A23; B1 đến B33.</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26.000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Các kiốt từ A26 đến A57; B34 đến B38; D58 đến D64.</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Các kiốt C.</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21.000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Tầng 1 nhà A1, A2, A4.</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21.000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Tầng 2 nhà A1, A2, A4</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16.000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Hành lang nhà A1, A2, A4.</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19.000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Nhà 6A.</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19.000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Nhà 6B.</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16.000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Nhà bán hàng còn lại (nhà tạm).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-Dãy kiốt A5.</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Tại chợ Nông Trang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Nhà chợ chính số 1.</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15.500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Nhà bán hàng còn lại (nhà tạm).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Nhà bán hàng thực phẩm tươi sống (số 2+số 3).</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14.000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Tại chợ Gia Cẩm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Nhà chợ chính số 1.</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18.000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Nhà bán hàng còn lại (nhà tạm).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14.000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Nhà bán thịt.</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1.1.4</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Tại chợ Gát</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Các kiốt đã bán ngoài cổng chợ.</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Các kiốt chưa bán.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Tầng 1 nhà chợ chính.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Tầng 2 nhà chợ chính.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Nhà bán hàng còn lại (nhà tạm).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1.1.5</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Tại các chợ Vân Cơ, Tân Dân, Minh Phương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Vị trí thuận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Các vị trí còn lại.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8.000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1.1.6</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Tại chợ Vân Phú, Dữu Lâu</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Vị trí thuận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Các vị trí còn lại.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1.1.7</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Tại chợ thuộc các phường còn lại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1.1.8</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Tại chợ thuộc các xã còn lại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*/Chợ họp thường xuyên.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*/Chợ họp không thường xuyên.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1.2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Chỗ ngồi bán hàng không cố định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Bán cả ngày.</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2.000 đ/người/ngày</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Bán 1 buổi.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 đ/người/ngày</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*/Hàng trị giá &lt;50.000 đ</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 đ/lượt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*/Hàng trị giá 50.000 đ đến &lt;100.000 đ</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2.000 đ/lượt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*/Hàng trị giá 100.000 đ đến &lt;300.000 đ</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3.000 đ/lượt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*/Hàng trị giá 300.000 đ đến&lt;1.000.000 đ</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5.000 đ/lượt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*/Hàng trị giá &gt;1.000.000 đ</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10.000 đ/lượt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TẠI ĐỊA BÀN THỊ XÃ PHÚ THỌ</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2.1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Chợ TX Phú Thọ</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2.1.1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Chỗ ngồi bán hàng cố định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Nhà A3 + A4 (vị trí đầu dãy bán thịt và dọc đường từ cổng phía Bắc đến nhà trung tâm,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13.000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Dãy Kiốt cổng số 1 (khu nhà lán tạm mặt đường từ cổng phía Bắc đến nhà trung tâm)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Các kiốt mặt ngoài quanh chợ và các địa điểm tiếp giáp.</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Nhà trung tâm A1+A2+Nhà nhựa.</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Khu bán hàng rau, hành, tỏi và bán lương thực nhỏ lán tạm.</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Khu hàng chiếu, nan, thừng, toàn bộ khu C: kiốt mặt trong và các khu vực hạn chế thương mại khác.</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2.1.2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i/>
                <w:iCs/>
                <w:color w:val="000000"/>
                <w:sz w:val="24"/>
                <w:szCs w:val="24"/>
              </w:rPr>
              <w:t>Chỗ ngồi bán hàng không cố định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Đối với các hộ bán quà, hàng ăn sáng (không quá 3m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/hộ)</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Các hộ còn lại khác thu theo giá trị bán: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Hàng giá trị dưới 50.000 đ</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 đ/lượt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Hàng trị giá từ 50.000 đến dưới 100.000 đ</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2.000 đ/lượt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Hàng trị giá từ 100.000 đ đến dưới 300.000 đ</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3.000 đ/lượt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Hàng trị giá từ 300.000 đ đến dưới 1.000.000 đ.</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6.000 đ/lượt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Hàng trị giá trên 1.000.000 đ</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12.000 đ/lượt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2.2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Chợ Hùng Vương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Chỗ ngồi bán hàng cố định.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Chỗ ngồi bán hàng lưu động.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2.3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Tại các chợ và các tụ điểm kinh doanh khác.</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Chỗ ngồi bán hàng cố định.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Chỗ ngồi bán hàng lưu động.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TẠI ĐỊA BÀN HUYỆN LÂM THAO</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3.1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Chỗ ngồi bán hàng cố định: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chợ Tứ Xã, Cao Xá</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8.000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chợ Cao Mại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chợ Supe:</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Khu vực có ki ốt</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Khu vực không có ki ốt</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các chợ và các tụ điểm kinh doanh khác trong huyện.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3.2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Bán hàng lưu động tại các chợ và các tụ điểm KD khác trong huyện.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4</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HUYỆN THANH BA + HẠ HÒA</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4.1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Chỗ ngồi bán hàng cố định.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chợ trung tâm huyện, chợ thị trấn, chợ thị tứ:</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Vị trí kinh doanh thuận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Vị trí kinh doanh không thuận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6.000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các chợ và tụ điểm KD khác trong huyện.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4.2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Bán hàng lưu động tại các chợ và các tụ điểm KD khác trong huyện.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5</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HUYỆN ĐOAN HÙNG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5.1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Chỗ ngồi bán hàng cố định.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chợ trung tâm huyện, chợ thị trấn, chợ thị tứ:</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Vị trí kinh doanh thuận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6.000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các chợ và tụ điểm KD khác trong huyện.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5.2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Bán hàng lưu động tại các chợ và các tụ điểm KD khác trong huyện.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6</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TẠI ĐỊA BÀN CÁC HUYỆN CÒN LẠI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6.1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Chỗ ngồi bán hàng cố định.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chợ trung tâm huyện, chợ thị trấn, chợ thị tứ:</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Vị trí kinh doanh thuận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Vị trí kinh doanh không thuận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các chợ và tụ điểm KD khác trong huyện.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6.2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Bán hàng lưu động tại các chợ và các tụ điểm KD khác trong huyện.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/lượt chợ</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XI</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SỬ DỤNG LỀ ĐƯỜNG, BẾN, BÃI, MẶT NƯỚC.</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A</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sử dụng lề đường.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Áp dụng đối với đối tượng được phép sử dụng để hoạt động sản xuất kinh doanh</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các phường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/quầy/tháng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các thị trấn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/quầy/tháng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Tại các xã:</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Vị trí thuận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/quầy/tháng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Vị trí không thuận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/quầy/tháng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Tại các khu di tích lịch sử</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Khu di tích lịch sử Đền hùng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Từ ngã 5 đền Giếng đền cổng chính, từ cổng chính đến đường rẽ vào đền Mẫu Âu Cơ</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17.000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/quầy/tháng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Từ cổng chính đến khu Văn Thể: bãi đỗ xe Gò Công: Dọc TL 309 khu vực lễ hội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/quầy/tháng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Các khu vực khác còn lại nằm trong khu di tích Đền Hùng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Các khu di tích lịch sử văn hóa khác được xếp hạng: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Đối với việc tạm dừng, đỗ xe ôtô ở những lề đường được phép đỗ theo quy hoạch sử dụng đất, giao thông đường bộ, đô thị</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Mức thu theo lần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3.000 đ/đồng/xe/lần tạm dừng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Mức Thu theo tháng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60.000 đ/xe/tháng (không quá).</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lastRenderedPageBreak/>
              <w:t>B</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sử dụng bến bãi, mặt nước đối với tàu thuyền vận tải (Không áp dụng</w:t>
            </w:r>
            <w:r w:rsidRPr="008C17BA">
              <w:rPr>
                <w:rFonts w:ascii="Times New Roman" w:eastAsia="Times New Roman" w:hAnsi="Times New Roman" w:cs="Times New Roman"/>
                <w:color w:val="000000"/>
                <w:sz w:val="24"/>
                <w:szCs w:val="24"/>
              </w:rPr>
              <w:t> </w:t>
            </w:r>
            <w:r w:rsidRPr="008C17BA">
              <w:rPr>
                <w:rFonts w:ascii="Times New Roman" w:eastAsia="Times New Roman" w:hAnsi="Times New Roman" w:cs="Times New Roman"/>
                <w:b/>
                <w:bCs/>
                <w:color w:val="000000"/>
                <w:sz w:val="24"/>
                <w:szCs w:val="24"/>
              </w:rPr>
              <w:t>đối với trường hợp Nhà nước giao đất, thu tiền sử dụng đất và cho thuê đất)</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Phí bãi đổ vật liệu (Chỉ áp dụng đối với các phường, thị trấn)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Địa điểm thuận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2.500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Địa điểm không thuận lợi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1.500 đ/m</w:t>
            </w:r>
            <w:r w:rsidRPr="008C17BA">
              <w:rPr>
                <w:rFonts w:ascii="Times New Roman" w:eastAsia="Times New Roman" w:hAnsi="Times New Roman" w:cs="Times New Roman"/>
                <w:color w:val="000000"/>
                <w:sz w:val="24"/>
                <w:szCs w:val="24"/>
                <w:vertAlign w:val="superscript"/>
              </w:rPr>
              <w:t>2</w:t>
            </w:r>
            <w:r w:rsidRPr="008C17BA">
              <w:rPr>
                <w:rFonts w:ascii="Times New Roman" w:eastAsia="Times New Roman" w:hAnsi="Times New Roman" w:cs="Times New Roman"/>
                <w:color w:val="000000"/>
                <w:sz w:val="24"/>
                <w:szCs w:val="24"/>
              </w:rPr>
              <w:t>/tháng</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Trường hợp neo đậu từ 5 ngày trở lên ( Tải trọng theo thiết kế)</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Trọng tải từ 10 tấn trở xuống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200.000 đ/phương tiện</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Trọng tải trên 10 tấn đến 50 tấn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300.000 đ/phương tiện</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Trọng tải trên 50 tấn đến 100 tấn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400.000 đ/phương tiện</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Trọng tải trên 100 tấn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500.000 đ/phương tiện</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Trường hợp neo đậu từng lượt</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Trọng tải từ 10 tấn trở xuống</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10.000 đ/lượt/phương tiện</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Trọng tải trên 10 tấn đến 50 tấn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15.000 đ/lượt/phương tiện</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Trọng tải trên 50 tấn đến 100 tấn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20.000 đ/lượt/phương tiện</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lastRenderedPageBreak/>
              <w:t> </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Trọng tải trên 100 tấn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25.000 đ/lượt/phương tiện</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Phí sử dụng bến bãi, mặt nước đối với tàu thuyền vận tải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 doanh thu thu được từ việc sản xuất, kinh doanh của tổ chức, cá nhân được phép sử dụng bến, bãi, mặt nước vào sản xuất, kinh doanh</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XII</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b/>
                <w:bCs/>
                <w:color w:val="000000"/>
                <w:sz w:val="24"/>
                <w:szCs w:val="24"/>
              </w:rPr>
              <w:t>PHÍ THƯ VIỆN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Thẻ mượn, đọc người lớn</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15.000 đ/người/năm</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2</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Thẻ mượn, đọc thiếu nhi</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7.000 đ/người/năm</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40%</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3</w:t>
            </w:r>
          </w:p>
        </w:tc>
        <w:tc>
          <w:tcPr>
            <w:tcW w:w="4198"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-Giảm 50% mức phí thư viện đối với các trường hợp sau:</w:t>
            </w:r>
          </w:p>
        </w:tc>
        <w:tc>
          <w:tcPr>
            <w:tcW w:w="1726"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1037"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2061" w:type="dxa"/>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9022" w:type="dxa"/>
            <w:gridSpan w:val="4"/>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Các đối tượng được hưởng chính sách ưu đãi hưởng thụ văn hóa quy định tại Điều 2 Quyết định số </w:t>
            </w:r>
            <w:r w:rsidRPr="008C17BA">
              <w:rPr>
                <w:rFonts w:ascii="Times New Roman" w:eastAsia="Times New Roman" w:hAnsi="Times New Roman" w:cs="Times New Roman"/>
                <w:color w:val="0E70C3"/>
                <w:sz w:val="24"/>
                <w:szCs w:val="24"/>
              </w:rPr>
              <w:t>170/2003/QĐ-</w:t>
            </w:r>
            <w:r w:rsidRPr="008C17BA">
              <w:rPr>
                <w:rFonts w:ascii="Times New Roman" w:eastAsia="Times New Roman" w:hAnsi="Times New Roman" w:cs="Times New Roman"/>
                <w:color w:val="000000"/>
                <w:sz w:val="24"/>
                <w:szCs w:val="24"/>
              </w:rPr>
              <w:t> TTg ngày 14/8/2003 của Thủ tướng Chính phủ về “Chính sách ưu đãi hưởng thụ văn hóa”. Trường hợp khó xác định là đối tượng được hưởng chính sách ưu đãi hưởng thụ văn hóa quy định tại Điều 2 Quyết định số </w:t>
            </w:r>
            <w:r w:rsidRPr="008C17BA">
              <w:rPr>
                <w:rFonts w:ascii="Times New Roman" w:eastAsia="Times New Roman" w:hAnsi="Times New Roman" w:cs="Times New Roman"/>
                <w:color w:val="0E70C3"/>
                <w:sz w:val="24"/>
                <w:szCs w:val="24"/>
              </w:rPr>
              <w:t>170/2003/QĐ-TTg</w:t>
            </w:r>
            <w:r w:rsidRPr="008C17BA">
              <w:rPr>
                <w:rFonts w:ascii="Times New Roman" w:eastAsia="Times New Roman" w:hAnsi="Times New Roman" w:cs="Times New Roman"/>
                <w:color w:val="000000"/>
                <w:sz w:val="24"/>
                <w:szCs w:val="24"/>
              </w:rPr>
              <w:t>thì chỉ cần có giấy xác nhận của Ủy ban nhân dân xã, phường, thị trấn nơi đối tượng cư trú.</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9022" w:type="dxa"/>
            <w:gridSpan w:val="4"/>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Người khuyết tật nặng theo quy định tại khoản 2 Điều 11 Nghị định số </w:t>
            </w:r>
            <w:r w:rsidRPr="008C17BA">
              <w:rPr>
                <w:rFonts w:ascii="Times New Roman" w:eastAsia="Times New Roman" w:hAnsi="Times New Roman" w:cs="Times New Roman"/>
                <w:color w:val="0E70C3"/>
                <w:sz w:val="24"/>
                <w:szCs w:val="24"/>
              </w:rPr>
              <w:t>28/2012/NĐ-CP</w:t>
            </w:r>
            <w:r w:rsidRPr="008C17BA">
              <w:rPr>
                <w:rFonts w:ascii="Times New Roman" w:eastAsia="Times New Roman" w:hAnsi="Times New Roman" w:cs="Times New Roman"/>
                <w:color w:val="000000"/>
                <w:sz w:val="24"/>
                <w:szCs w:val="24"/>
              </w:rPr>
              <w:t>ngày 10/4/2012 của Chính phủ quy định chi tiết và hướng dẫn thi hành một số điều của Luật Người khuyết tật.</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9022" w:type="dxa"/>
            <w:gridSpan w:val="4"/>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Trường hợp người vừa thuộc diện hưởng chính sách ưu đãi hưởng thụ văn hóa vừa thuộc diện người khuyết tật nặng thì chỉ được giảm 50% mức phí thư viện.</w:t>
            </w:r>
          </w:p>
        </w:tc>
      </w:tr>
      <w:tr w:rsidR="008C17BA" w:rsidRPr="008C17BA" w:rsidTr="008C17BA">
        <w:trPr>
          <w:tblCellSpacing w:w="0" w:type="dxa"/>
        </w:trPr>
        <w:tc>
          <w:tcPr>
            <w:tcW w:w="607" w:type="dxa"/>
            <w:tcBorders>
              <w:top w:val="nil"/>
              <w:left w:val="single" w:sz="8" w:space="0" w:color="000000"/>
              <w:bottom w:val="single" w:sz="8" w:space="0" w:color="000000"/>
              <w:right w:val="single" w:sz="8" w:space="0" w:color="000000"/>
            </w:tcBorders>
            <w:shd w:val="clear" w:color="auto" w:fill="FFFFFF"/>
            <w:vAlign w:val="center"/>
            <w:hideMark/>
          </w:tcPr>
          <w:p w:rsidR="008C17BA" w:rsidRPr="008C17BA" w:rsidRDefault="008C17BA" w:rsidP="008C17BA">
            <w:pPr>
              <w:spacing w:before="120"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w:t>
            </w:r>
          </w:p>
        </w:tc>
        <w:tc>
          <w:tcPr>
            <w:tcW w:w="9022" w:type="dxa"/>
            <w:gridSpan w:val="4"/>
            <w:tcBorders>
              <w:top w:val="nil"/>
              <w:left w:val="nil"/>
              <w:bottom w:val="single" w:sz="8" w:space="0" w:color="000000"/>
              <w:right w:val="single" w:sz="8" w:space="0" w:color="000000"/>
            </w:tcBorders>
            <w:shd w:val="clear" w:color="auto" w:fill="FFFFFF"/>
            <w:vAlign w:val="center"/>
            <w:hideMark/>
          </w:tcPr>
          <w:p w:rsidR="008C17BA" w:rsidRPr="008C17BA" w:rsidRDefault="008C17BA" w:rsidP="008C17BA">
            <w:pPr>
              <w:spacing w:after="0" w:line="276" w:lineRule="auto"/>
              <w:jc w:val="both"/>
              <w:rPr>
                <w:rFonts w:ascii="Times New Roman" w:eastAsia="Times New Roman" w:hAnsi="Times New Roman" w:cs="Times New Roman"/>
                <w:color w:val="000000"/>
                <w:sz w:val="24"/>
                <w:szCs w:val="24"/>
              </w:rPr>
            </w:pPr>
            <w:r w:rsidRPr="008C17BA">
              <w:rPr>
                <w:rFonts w:ascii="Times New Roman" w:eastAsia="Times New Roman" w:hAnsi="Times New Roman" w:cs="Times New Roman"/>
                <w:color w:val="000000"/>
                <w:sz w:val="24"/>
                <w:szCs w:val="24"/>
              </w:rPr>
              <w:t>- Miễn phí thư viện đối với người khuyết tật đặc biệt nặng theo quy định tại khoản 1 Điều 11 Nghị định số </w:t>
            </w:r>
            <w:r w:rsidRPr="008C17BA">
              <w:rPr>
                <w:rFonts w:ascii="Times New Roman" w:eastAsia="Times New Roman" w:hAnsi="Times New Roman" w:cs="Times New Roman"/>
                <w:color w:val="0E70C3"/>
                <w:sz w:val="24"/>
                <w:szCs w:val="24"/>
              </w:rPr>
              <w:t>28/2012/NĐ-CP</w:t>
            </w:r>
            <w:r w:rsidRPr="008C17BA">
              <w:rPr>
                <w:rFonts w:ascii="Times New Roman" w:eastAsia="Times New Roman" w:hAnsi="Times New Roman" w:cs="Times New Roman"/>
                <w:color w:val="000000"/>
                <w:sz w:val="24"/>
                <w:szCs w:val="24"/>
              </w:rPr>
              <w:t> ngày 10/4/2012 của Chính phủ quy định chi tiết và hướng dẫn thi hành một số điều của Luật người khuyết tật.</w:t>
            </w:r>
          </w:p>
        </w:tc>
      </w:tr>
    </w:tbl>
    <w:p w:rsidR="001D3F69" w:rsidRPr="008C17BA" w:rsidRDefault="00855D0C" w:rsidP="008C17BA">
      <w:pPr>
        <w:spacing w:line="276" w:lineRule="auto"/>
        <w:jc w:val="both"/>
        <w:rPr>
          <w:rFonts w:ascii="Times New Roman" w:hAnsi="Times New Roman" w:cs="Times New Roman"/>
          <w:sz w:val="24"/>
          <w:szCs w:val="24"/>
        </w:rPr>
      </w:pPr>
    </w:p>
    <w:sectPr w:rsidR="001D3F69" w:rsidRPr="008C17B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0C" w:rsidRDefault="00855D0C" w:rsidP="008C17BA">
      <w:pPr>
        <w:spacing w:after="0" w:line="240" w:lineRule="auto"/>
      </w:pPr>
      <w:r>
        <w:separator/>
      </w:r>
    </w:p>
  </w:endnote>
  <w:endnote w:type="continuationSeparator" w:id="0">
    <w:p w:rsidR="00855D0C" w:rsidRDefault="00855D0C" w:rsidP="008C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BA" w:rsidRPr="00A67571" w:rsidRDefault="008C17BA" w:rsidP="008C17BA">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8C17BA" w:rsidRDefault="008C1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0C" w:rsidRDefault="00855D0C" w:rsidP="008C17BA">
      <w:pPr>
        <w:spacing w:after="0" w:line="240" w:lineRule="auto"/>
      </w:pPr>
      <w:r>
        <w:separator/>
      </w:r>
    </w:p>
  </w:footnote>
  <w:footnote w:type="continuationSeparator" w:id="0">
    <w:p w:rsidR="00855D0C" w:rsidRDefault="00855D0C" w:rsidP="008C1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C17BA" w:rsidRPr="00A67571" w:rsidTr="00914C79">
      <w:trPr>
        <w:trHeight w:val="1208"/>
      </w:trPr>
      <w:tc>
        <w:tcPr>
          <w:tcW w:w="2411" w:type="dxa"/>
          <w:tcBorders>
            <w:top w:val="nil"/>
            <w:left w:val="nil"/>
            <w:bottom w:val="single" w:sz="4" w:space="0" w:color="auto"/>
            <w:right w:val="nil"/>
          </w:tcBorders>
          <w:vAlign w:val="center"/>
          <w:hideMark/>
        </w:tcPr>
        <w:p w:rsidR="008C17BA" w:rsidRPr="00A67571" w:rsidRDefault="008C17BA" w:rsidP="008C17BA">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C17BA" w:rsidRPr="00A67571" w:rsidRDefault="008C17BA" w:rsidP="008C17B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C17BA" w:rsidRPr="00A67571" w:rsidRDefault="008C17BA" w:rsidP="008C17BA">
          <w:pPr>
            <w:rPr>
              <w:rFonts w:ascii="Times New Roman" w:hAnsi="Times New Roman"/>
              <w:sz w:val="20"/>
            </w:rPr>
          </w:pPr>
          <w:r w:rsidRPr="00A67571">
            <w:rPr>
              <w:rFonts w:ascii="Times New Roman" w:hAnsi="Times New Roman"/>
              <w:sz w:val="20"/>
            </w:rPr>
            <w:t>No 2305, VNT Tower, 19  Nguyen Trai Street, Thanh Xuan District, Hanoi City, Viet Nam</w:t>
          </w:r>
        </w:p>
        <w:p w:rsidR="008C17BA" w:rsidRPr="00A67571" w:rsidRDefault="008C17BA" w:rsidP="008C17BA">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8C17BA" w:rsidRPr="00A67571" w:rsidRDefault="008C17BA" w:rsidP="008C17BA">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C17BA" w:rsidRDefault="008C1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BA"/>
    <w:rsid w:val="00855D0C"/>
    <w:rsid w:val="008C17BA"/>
    <w:rsid w:val="00D0749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369C2-6388-452A-9D30-C4E5384B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C17B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17BA"/>
  </w:style>
  <w:style w:type="character" w:styleId="Hyperlink">
    <w:name w:val="Hyperlink"/>
    <w:basedOn w:val="DefaultParagraphFont"/>
    <w:uiPriority w:val="99"/>
    <w:semiHidden/>
    <w:unhideWhenUsed/>
    <w:rsid w:val="008C17BA"/>
    <w:rPr>
      <w:color w:val="0000FF"/>
      <w:u w:val="single"/>
    </w:rPr>
  </w:style>
  <w:style w:type="character" w:styleId="FollowedHyperlink">
    <w:name w:val="FollowedHyperlink"/>
    <w:basedOn w:val="DefaultParagraphFont"/>
    <w:uiPriority w:val="99"/>
    <w:semiHidden/>
    <w:unhideWhenUsed/>
    <w:rsid w:val="008C17BA"/>
    <w:rPr>
      <w:color w:val="800080"/>
      <w:u w:val="single"/>
    </w:rPr>
  </w:style>
  <w:style w:type="paragraph" w:styleId="Header">
    <w:name w:val="header"/>
    <w:basedOn w:val="Normal"/>
    <w:link w:val="HeaderChar"/>
    <w:uiPriority w:val="99"/>
    <w:unhideWhenUsed/>
    <w:rsid w:val="008C1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BA"/>
  </w:style>
  <w:style w:type="paragraph" w:styleId="Footer">
    <w:name w:val="footer"/>
    <w:basedOn w:val="Normal"/>
    <w:link w:val="FooterChar"/>
    <w:uiPriority w:val="99"/>
    <w:unhideWhenUsed/>
    <w:rsid w:val="008C1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BA"/>
  </w:style>
  <w:style w:type="character" w:customStyle="1" w:styleId="Heading6Char">
    <w:name w:val="Heading 6 Char"/>
    <w:basedOn w:val="DefaultParagraphFont"/>
    <w:link w:val="Heading6"/>
    <w:semiHidden/>
    <w:rsid w:val="008C17BA"/>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2480</Words>
  <Characters>14140</Characters>
  <Application>Microsoft Office Word</Application>
  <DocSecurity>0</DocSecurity>
  <Lines>117</Lines>
  <Paragraphs>33</Paragraphs>
  <ScaleCrop>false</ScaleCrop>
  <Company>Grizli777</Company>
  <LinksUpToDate>false</LinksUpToDate>
  <CharactersWithSpaces>16587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2015-10-28T10:12:00Z</dcterms:created>
  <dcterms:modified xsi:type="dcterms:W3CDTF">2015-10-28T10:20:00Z</dcterms:modified>
</cp:coreProperties>
</file>