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DC603C" w:rsidRPr="00DC603C" w:rsidTr="00DC603C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 HIỂM XÃ HỘI </w:t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VIỆT NAM</w:t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----------------</w:t>
            </w:r>
          </w:p>
        </w:tc>
      </w:tr>
      <w:tr w:rsidR="00DC603C" w:rsidRPr="00DC603C" w:rsidTr="00DC603C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: 5035/BHXH-BT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V/v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nợ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BHXH, BHYT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18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12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2014</w:t>
            </w:r>
          </w:p>
        </w:tc>
      </w:tr>
    </w:tbl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proofErr w:type="spellStart"/>
      <w:r w:rsidRPr="00DC6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</w:t>
      </w:r>
      <w:proofErr w:type="spellEnd"/>
      <w:r w:rsidRPr="00DC6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ương</w:t>
      </w:r>
      <w:proofErr w:type="spellEnd"/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(BHXH)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ương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(BHYT),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thất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(BHTN)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BHYT.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xử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kiên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khẩn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trương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chấn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khắc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ngay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tồn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BHYT;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túc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1111/QĐ-BHXH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25/10/2011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đôn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đôn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đôn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đôn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vẫn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(UBND)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xử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kéo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xử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tòa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3465/BHXH-KHTC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05/9/2013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01-QLN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đính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(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"mailto:banthuqln@vss.gov.vn" </w:instrText>
      </w: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C603C">
        <w:rPr>
          <w:rFonts w:ascii="Times New Roman" w:eastAsia="Times New Roman" w:hAnsi="Times New Roman" w:cs="Times New Roman"/>
          <w:sz w:val="24"/>
          <w:szCs w:val="24"/>
          <w:lang w:val="vi-VN"/>
        </w:rPr>
        <w:t>banthuqln@vss.gov.vn</w:t>
      </w: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đôn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, BHXH, BHYT.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túc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4292/BHXH-BT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07/11/2014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BHYT.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Thu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xử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tòa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thụ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UBND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xử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BHXH, BHYT;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đua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BHXH 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./.</w:t>
      </w:r>
    </w:p>
    <w:bookmarkEnd w:id="0"/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C603C" w:rsidRPr="00DC603C" w:rsidTr="00DC603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TC, LĐTBXH, YT; TTCP, TC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UBND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TP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 (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TP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TW;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BHXH VN;</w:t>
            </w:r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sz w:val="24"/>
                <w:szCs w:val="24"/>
              </w:rPr>
              <w:t>: VT, BT (03b).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GIÁM ĐỐC</w:t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Minh</w:t>
            </w:r>
          </w:p>
        </w:tc>
      </w:tr>
    </w:tbl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3530"/>
      </w:tblGrid>
      <w:tr w:rsidR="00DC603C" w:rsidRPr="00DC603C" w:rsidTr="00DC603C">
        <w:trPr>
          <w:tblCellSpacing w:w="0" w:type="dxa"/>
        </w:trPr>
        <w:tc>
          <w:tcPr>
            <w:tcW w:w="9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BẢO HIỂM XÃ HỘI VIỆT NAM</w:t>
            </w: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BẢO HIỂM XÃ HỘI TỈNH...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01-QLN ban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5035/BHXH-BT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18/12/2014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BHXH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</w:tr>
    </w:tbl>
    <w:p w:rsidR="00DC603C" w:rsidRPr="00DC603C" w:rsidRDefault="00DC603C" w:rsidP="00DC603C">
      <w:pPr>
        <w:shd w:val="clear" w:color="auto" w:fill="FFFFFF"/>
        <w:spacing w:before="120"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DANH SÁCH DOANH NGHIỆP NỢ BHXH, BHYT, BHTN TỪ 3 THÁNG TRỞ LÊN</w:t>
      </w:r>
    </w:p>
    <w:p w:rsidR="00DC603C" w:rsidRPr="00DC603C" w:rsidRDefault="00DC603C" w:rsidP="00DC603C">
      <w:pPr>
        <w:shd w:val="clear" w:color="auto" w:fill="FFFFFF"/>
        <w:spacing w:before="120"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242"/>
        <w:gridCol w:w="603"/>
        <w:gridCol w:w="627"/>
        <w:gridCol w:w="931"/>
        <w:gridCol w:w="489"/>
        <w:gridCol w:w="786"/>
        <w:gridCol w:w="830"/>
        <w:gridCol w:w="716"/>
        <w:gridCol w:w="775"/>
        <w:gridCol w:w="684"/>
        <w:gridCol w:w="681"/>
        <w:gridCol w:w="598"/>
      </w:tblGrid>
      <w:tr w:rsidR="00DC603C" w:rsidRPr="00DC603C" w:rsidTr="00DC603C">
        <w:trPr>
          <w:tblCellSpacing w:w="0" w:type="dxa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9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nợ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nợ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DC603C" w:rsidRPr="00DC603C" w:rsidTr="00DC603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BHXH, </w:t>
            </w: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BHYT, BHTN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Lãi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Thanh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Khởi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kiện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Thời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điểm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03C" w:rsidRPr="00DC603C" w:rsidRDefault="00DC603C" w:rsidP="00D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3C" w:rsidRPr="00DC603C" w:rsidTr="00DC603C">
        <w:trPr>
          <w:tblCellSpacing w:w="0" w:type="dxa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4=3+2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603C" w:rsidRPr="00DC603C" w:rsidTr="00DC603C">
        <w:trPr>
          <w:tblCellSpacing w:w="0" w:type="dxa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BHXH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huyện</w:t>
            </w:r>
            <w:proofErr w:type="spellEnd"/>
            <w:proofErr w:type="gramStart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BHXH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huyện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BHXH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tỉnh</w:t>
            </w:r>
            <w:proofErr w:type="spellEnd"/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15"/>
      </w:tblGrid>
      <w:tr w:rsidR="00DC603C" w:rsidRPr="00DC603C" w:rsidTr="00DC603C">
        <w:trPr>
          <w:tblCellSpacing w:w="0" w:type="dxa"/>
        </w:trPr>
        <w:tc>
          <w:tcPr>
            <w:tcW w:w="7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3C" w:rsidRPr="00DC603C" w:rsidRDefault="00DC603C" w:rsidP="00DC603C">
            <w:pPr>
              <w:spacing w:before="120"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 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   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20…</w:t>
            </w:r>
            <w:r w:rsidRPr="00DC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</w:t>
            </w:r>
            <w:proofErr w:type="spellEnd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đốc</w:t>
            </w:r>
            <w:proofErr w:type="spellEnd"/>
          </w:p>
        </w:tc>
      </w:tr>
    </w:tbl>
    <w:p w:rsidR="00DC603C" w:rsidRPr="00DC603C" w:rsidRDefault="00DC603C" w:rsidP="00DC603C">
      <w:pPr>
        <w:shd w:val="clear" w:color="auto" w:fill="FFFFFF"/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52DF" w:rsidRPr="00DC603C" w:rsidRDefault="005552DF">
      <w:pPr>
        <w:rPr>
          <w:rFonts w:ascii="Times New Roman" w:hAnsi="Times New Roman" w:cs="Times New Roman"/>
          <w:sz w:val="24"/>
          <w:szCs w:val="24"/>
        </w:rPr>
      </w:pPr>
    </w:p>
    <w:sectPr w:rsidR="005552DF" w:rsidRPr="00DC60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0B" w:rsidRDefault="0077540B" w:rsidP="00DC603C">
      <w:pPr>
        <w:spacing w:after="0" w:line="240" w:lineRule="auto"/>
      </w:pPr>
      <w:r>
        <w:separator/>
      </w:r>
    </w:p>
  </w:endnote>
  <w:endnote w:type="continuationSeparator" w:id="0">
    <w:p w:rsidR="0077540B" w:rsidRDefault="0077540B" w:rsidP="00D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3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03C" w:rsidRPr="00A67571" w:rsidRDefault="00DC603C" w:rsidP="00DC603C">
        <w:pPr>
          <w:pStyle w:val="Footer"/>
          <w:jc w:val="center"/>
          <w:rPr>
            <w:rFonts w:ascii="Times New Roman" w:hAnsi="Times New Roman"/>
          </w:rPr>
        </w:pPr>
        <w:r>
          <w:tab/>
        </w:r>
        <w:r w:rsidRPr="00A67571">
          <w:rPr>
            <w:rFonts w:ascii="Times New Roman" w:hAnsi="Times New Roman"/>
            <w:b/>
            <w:color w:val="FF0000"/>
          </w:rPr>
          <w:t xml:space="preserve">TỔNG ĐÀI TƯ VẤN PHÁP LUẬT TRỰC TUYẾN </w:t>
        </w:r>
        <w:r>
          <w:rPr>
            <w:rFonts w:ascii="Times New Roman" w:hAnsi="Times New Roman"/>
            <w:b/>
            <w:color w:val="FF0000"/>
          </w:rPr>
          <w:t>24/7: 1900.6190 – 1900.6568</w:t>
        </w:r>
      </w:p>
      <w:p w:rsidR="00DC603C" w:rsidRPr="00A67571" w:rsidRDefault="00DC603C" w:rsidP="00DC603C">
        <w:pPr>
          <w:pStyle w:val="Footer"/>
          <w:rPr>
            <w:rFonts w:ascii="Times New Roman" w:hAnsi="Times New Roman"/>
          </w:rPr>
        </w:pPr>
      </w:p>
      <w:p w:rsidR="00DC603C" w:rsidRDefault="00DC603C" w:rsidP="00DC603C">
        <w:pPr>
          <w:pStyle w:val="Footer"/>
          <w:tabs>
            <w:tab w:val="left" w:pos="405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03C" w:rsidRDefault="00DC6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0B" w:rsidRDefault="0077540B" w:rsidP="00DC603C">
      <w:pPr>
        <w:spacing w:after="0" w:line="240" w:lineRule="auto"/>
      </w:pPr>
      <w:r>
        <w:separator/>
      </w:r>
    </w:p>
  </w:footnote>
  <w:footnote w:type="continuationSeparator" w:id="0">
    <w:p w:rsidR="0077540B" w:rsidRDefault="0077540B" w:rsidP="00DC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2"/>
      <w:gridCol w:w="8358"/>
    </w:tblGrid>
    <w:tr w:rsidR="00DC603C" w:rsidRPr="00A67571" w:rsidTr="00A102E5">
      <w:trPr>
        <w:trHeight w:val="1208"/>
      </w:trPr>
      <w:tc>
        <w:tcPr>
          <w:tcW w:w="24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C603C" w:rsidRPr="00A67571" w:rsidRDefault="00DC603C" w:rsidP="00A102E5">
          <w:pPr>
            <w:rPr>
              <w:rFonts w:ascii="Times New Roman" w:hAnsi="Times New Roman"/>
              <w:b/>
              <w:sz w:val="20"/>
            </w:rPr>
          </w:pPr>
          <w:r w:rsidRPr="00A67571">
            <w:rPr>
              <w:rFonts w:ascii="Times New Roman" w:hAnsi="Times New Roman"/>
              <w:b/>
              <w:sz w:val="20"/>
            </w:rPr>
            <w:t xml:space="preserve">        </w:t>
          </w:r>
          <w:r>
            <w:rPr>
              <w:rFonts w:ascii="Times New Roman" w:hAnsi="Times New Roman"/>
              <w:b/>
              <w:noProof/>
              <w:sz w:val="20"/>
            </w:rPr>
            <w:drawing>
              <wp:inline distT="0" distB="0" distL="0" distR="0" wp14:anchorId="3FDA606F" wp14:editId="37B260CF">
                <wp:extent cx="1428750" cy="866775"/>
                <wp:effectExtent l="0" t="0" r="0" b="9525"/>
                <wp:docPr id="1" name="Picture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67571">
            <w:rPr>
              <w:rFonts w:ascii="Times New Roman" w:hAnsi="Times New Roman"/>
              <w:b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83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C603C" w:rsidRPr="00A67571" w:rsidRDefault="00DC603C" w:rsidP="00A102E5">
          <w:pPr>
            <w:pStyle w:val="Heading6"/>
            <w:spacing w:before="0"/>
            <w:rPr>
              <w:rFonts w:ascii="Times New Roman" w:hAnsi="Times New Roman"/>
              <w:sz w:val="20"/>
            </w:rPr>
          </w:pPr>
          <w:r w:rsidRPr="00A67571">
            <w:rPr>
              <w:rFonts w:ascii="Times New Roman" w:hAnsi="Times New Roman"/>
              <w:sz w:val="20"/>
            </w:rPr>
            <w:t xml:space="preserve">CÔNG TY </w:t>
          </w:r>
          <w:r>
            <w:rPr>
              <w:rFonts w:ascii="Times New Roman" w:hAnsi="Times New Roman"/>
              <w:sz w:val="20"/>
            </w:rPr>
            <w:t>LUẬT TNHH DƯƠNG GIA</w:t>
          </w:r>
          <w:r w:rsidRPr="00A67571">
            <w:rPr>
              <w:rFonts w:ascii="Times New Roman" w:hAnsi="Times New Roman"/>
              <w:sz w:val="20"/>
            </w:rPr>
            <w:t xml:space="preserve"> –</w:t>
          </w:r>
          <w:r>
            <w:rPr>
              <w:rFonts w:ascii="Times New Roman" w:hAnsi="Times New Roman"/>
              <w:sz w:val="20"/>
            </w:rPr>
            <w:t xml:space="preserve"> DUONG GIA LAW </w:t>
          </w:r>
          <w:r w:rsidRPr="00A67571">
            <w:rPr>
              <w:rFonts w:ascii="Times New Roman" w:hAnsi="Times New Roman"/>
              <w:sz w:val="20"/>
            </w:rPr>
            <w:t xml:space="preserve">COMPANY LIMITED </w:t>
          </w:r>
        </w:p>
        <w:p w:rsidR="00DC603C" w:rsidRPr="00A67571" w:rsidRDefault="00DC603C" w:rsidP="00A102E5">
          <w:pPr>
            <w:rPr>
              <w:rFonts w:ascii="Times New Roman" w:hAnsi="Times New Roman"/>
              <w:sz w:val="20"/>
            </w:rPr>
          </w:pPr>
          <w:r w:rsidRPr="00A67571">
            <w:rPr>
              <w:rFonts w:ascii="Times New Roman" w:hAnsi="Times New Roman"/>
              <w:sz w:val="20"/>
            </w:rPr>
            <w:t xml:space="preserve">No 2305, VNT Tower, 19  Nguyen </w:t>
          </w:r>
          <w:proofErr w:type="spellStart"/>
          <w:r w:rsidRPr="00A67571">
            <w:rPr>
              <w:rFonts w:ascii="Times New Roman" w:hAnsi="Times New Roman"/>
              <w:sz w:val="20"/>
            </w:rPr>
            <w:t>Trai</w:t>
          </w:r>
          <w:proofErr w:type="spellEnd"/>
          <w:r w:rsidRPr="00A67571">
            <w:rPr>
              <w:rFonts w:ascii="Times New Roman" w:hAnsi="Times New Roman"/>
              <w:sz w:val="20"/>
            </w:rPr>
            <w:t xml:space="preserve"> Street, </w:t>
          </w:r>
          <w:proofErr w:type="spellStart"/>
          <w:r w:rsidRPr="00A67571">
            <w:rPr>
              <w:rFonts w:ascii="Times New Roman" w:hAnsi="Times New Roman"/>
              <w:sz w:val="20"/>
            </w:rPr>
            <w:t>Thanh</w:t>
          </w:r>
          <w:proofErr w:type="spellEnd"/>
          <w:r w:rsidRPr="00A67571">
            <w:rPr>
              <w:rFonts w:ascii="Times New Roman" w:hAnsi="Times New Roman"/>
              <w:sz w:val="20"/>
            </w:rPr>
            <w:t xml:space="preserve"> </w:t>
          </w:r>
          <w:proofErr w:type="spellStart"/>
          <w:r w:rsidRPr="00A67571">
            <w:rPr>
              <w:rFonts w:ascii="Times New Roman" w:hAnsi="Times New Roman"/>
              <w:sz w:val="20"/>
            </w:rPr>
            <w:t>Xuan</w:t>
          </w:r>
          <w:proofErr w:type="spellEnd"/>
          <w:r w:rsidRPr="00A67571">
            <w:rPr>
              <w:rFonts w:ascii="Times New Roman" w:hAnsi="Times New Roman"/>
              <w:sz w:val="20"/>
            </w:rPr>
            <w:t xml:space="preserve"> District, Hanoi City, Viet Nam</w:t>
          </w:r>
        </w:p>
        <w:p w:rsidR="00DC603C" w:rsidRPr="00A67571" w:rsidRDefault="00DC603C" w:rsidP="00A102E5">
          <w:pPr>
            <w:rPr>
              <w:rFonts w:ascii="Times New Roman" w:hAnsi="Times New Roman"/>
              <w:sz w:val="20"/>
            </w:rPr>
          </w:pPr>
          <w:r w:rsidRPr="00A67571">
            <w:rPr>
              <w:rFonts w:ascii="Times New Roman" w:hAnsi="Times New Roman"/>
              <w:sz w:val="20"/>
            </w:rPr>
            <w:t>Tel:</w:t>
          </w:r>
          <w:r>
            <w:rPr>
              <w:rFonts w:ascii="Times New Roman" w:hAnsi="Times New Roman"/>
              <w:sz w:val="20"/>
            </w:rPr>
            <w:t xml:space="preserve">   1900.6190 – 1900.6568      </w:t>
          </w:r>
          <w:r w:rsidRPr="00A67571">
            <w:rPr>
              <w:rFonts w:ascii="Times New Roman" w:hAnsi="Times New Roman"/>
              <w:sz w:val="20"/>
            </w:rPr>
            <w:t xml:space="preserve">  Fax: 04.3562.7716</w:t>
          </w:r>
        </w:p>
        <w:p w:rsidR="00DC603C" w:rsidRPr="00A67571" w:rsidRDefault="00DC603C" w:rsidP="00A102E5">
          <w:pPr>
            <w:rPr>
              <w:rFonts w:ascii="Times New Roman" w:hAnsi="Times New Roman"/>
              <w:sz w:val="20"/>
            </w:rPr>
          </w:pPr>
          <w:r w:rsidRPr="00A67571">
            <w:rPr>
              <w:rFonts w:ascii="Times New Roman" w:hAnsi="Times New Roman"/>
              <w:sz w:val="20"/>
            </w:rPr>
            <w:t xml:space="preserve">Email: </w:t>
          </w:r>
          <w:hyperlink r:id="rId2" w:history="1">
            <w:r w:rsidRPr="00776A8D">
              <w:rPr>
                <w:rStyle w:val="Hyperlink"/>
                <w:rFonts w:ascii="Times New Roman" w:hAnsi="Times New Roman"/>
                <w:sz w:val="20"/>
              </w:rPr>
              <w:t>lienhe@luatduonggia.vn</w:t>
            </w:r>
          </w:hyperlink>
          <w:r w:rsidRPr="00A67571">
            <w:rPr>
              <w:rFonts w:ascii="Times New Roman" w:hAnsi="Times New Roman"/>
              <w:sz w:val="20"/>
            </w:rPr>
            <w:t xml:space="preserve">    Website: </w:t>
          </w:r>
          <w:hyperlink r:id="rId3" w:history="1">
            <w:r w:rsidRPr="00B330C7">
              <w:rPr>
                <w:rStyle w:val="Hyperlink"/>
                <w:rFonts w:ascii="Times New Roman" w:hAnsi="Times New Roman"/>
                <w:sz w:val="20"/>
              </w:rPr>
              <w:t>http://www.luatduonggia.vn</w:t>
            </w:r>
          </w:hyperlink>
        </w:p>
      </w:tc>
    </w:tr>
  </w:tbl>
  <w:p w:rsidR="00DC603C" w:rsidRDefault="00DC6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3C"/>
    <w:rsid w:val="00340B8B"/>
    <w:rsid w:val="005552DF"/>
    <w:rsid w:val="0077540B"/>
    <w:rsid w:val="00D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DC603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603C"/>
  </w:style>
  <w:style w:type="character" w:styleId="Hyperlink">
    <w:name w:val="Hyperlink"/>
    <w:basedOn w:val="DefaultParagraphFont"/>
    <w:uiPriority w:val="99"/>
    <w:semiHidden/>
    <w:unhideWhenUsed/>
    <w:rsid w:val="00DC603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C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603C"/>
  </w:style>
  <w:style w:type="paragraph" w:styleId="Footer">
    <w:name w:val="footer"/>
    <w:basedOn w:val="Normal"/>
    <w:link w:val="FooterChar"/>
    <w:uiPriority w:val="99"/>
    <w:unhideWhenUsed/>
    <w:rsid w:val="00DC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3C"/>
  </w:style>
  <w:style w:type="character" w:customStyle="1" w:styleId="Heading6Char">
    <w:name w:val="Heading 6 Char"/>
    <w:basedOn w:val="DefaultParagraphFont"/>
    <w:link w:val="Heading6"/>
    <w:semiHidden/>
    <w:rsid w:val="00DC603C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DC603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603C"/>
  </w:style>
  <w:style w:type="character" w:styleId="Hyperlink">
    <w:name w:val="Hyperlink"/>
    <w:basedOn w:val="DefaultParagraphFont"/>
    <w:uiPriority w:val="99"/>
    <w:semiHidden/>
    <w:unhideWhenUsed/>
    <w:rsid w:val="00DC603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C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603C"/>
  </w:style>
  <w:style w:type="paragraph" w:styleId="Footer">
    <w:name w:val="footer"/>
    <w:basedOn w:val="Normal"/>
    <w:link w:val="FooterChar"/>
    <w:uiPriority w:val="99"/>
    <w:unhideWhenUsed/>
    <w:rsid w:val="00DC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3C"/>
  </w:style>
  <w:style w:type="character" w:customStyle="1" w:styleId="Heading6Char">
    <w:name w:val="Heading 6 Char"/>
    <w:basedOn w:val="DefaultParagraphFont"/>
    <w:link w:val="Heading6"/>
    <w:semiHidden/>
    <w:rsid w:val="00DC603C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atduonggia.vn" TargetMode="External"/><Relationship Id="rId2" Type="http://schemas.openxmlformats.org/officeDocument/2006/relationships/hyperlink" Target="mailto:lienhe@luatduonggia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THANG</dc:creator>
  <cp:lastModifiedBy>NGUYEN THANG</cp:lastModifiedBy>
  <cp:revision>2</cp:revision>
  <dcterms:created xsi:type="dcterms:W3CDTF">2015-07-28T07:36:00Z</dcterms:created>
  <dcterms:modified xsi:type="dcterms:W3CDTF">2015-07-28T07:52:00Z</dcterms:modified>
</cp:coreProperties>
</file>